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C25F" w14:textId="77777777" w:rsidR="00C065E2" w:rsidRDefault="0011507D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Month Three and Beyond: Activities 12-13</w:t>
      </w:r>
    </w:p>
    <w:p w14:paraId="0E2F602D" w14:textId="77777777" w:rsidR="00C065E2" w:rsidRDefault="00C065E2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"/>
        <w:tblW w:w="9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80"/>
        <w:gridCol w:w="7290"/>
      </w:tblGrid>
      <w:tr w:rsidR="00C065E2" w14:paraId="4003753C" w14:textId="77777777">
        <w:tc>
          <w:tcPr>
            <w:tcW w:w="2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5186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 Number </w:t>
            </w:r>
          </w:p>
          <w:p w14:paraId="11095DD8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Requirement</w:t>
            </w:r>
          </w:p>
        </w:tc>
        <w:tc>
          <w:tcPr>
            <w:tcW w:w="72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EAFB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TWELVE</w:t>
            </w:r>
          </w:p>
          <w:p w14:paraId="5A806BE9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Ongoing</w:t>
            </w:r>
          </w:p>
          <w:p w14:paraId="0BB8A37D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Co-Curricular</w:t>
            </w:r>
          </w:p>
          <w:p w14:paraId="45649DB8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Extra-Curricular </w:t>
            </w:r>
          </w:p>
        </w:tc>
      </w:tr>
      <w:tr w:rsidR="00C065E2" w14:paraId="69A25ECD" w14:textId="77777777">
        <w:tc>
          <w:tcPr>
            <w:tcW w:w="2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54D05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72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8AAEF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Future of The Race of Reins</w:t>
            </w:r>
          </w:p>
        </w:tc>
      </w:tr>
      <w:tr w:rsidR="00C065E2" w14:paraId="0A51957F" w14:textId="77777777">
        <w:tc>
          <w:tcPr>
            <w:tcW w:w="2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BBF5C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Curriculum Areas</w:t>
            </w:r>
          </w:p>
          <w:p w14:paraId="6488DA93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71363568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Standards</w:t>
            </w:r>
          </w:p>
        </w:tc>
        <w:tc>
          <w:tcPr>
            <w:tcW w:w="72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C839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(Writing)</w:t>
            </w:r>
          </w:p>
          <w:p w14:paraId="242D0CD9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F52A803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C.10.2 Compose informative and/or explanatory texts to examine and convey complex ideas, concepts, and information clearly and accurately through the effective selection, </w:t>
            </w:r>
            <w:proofErr w:type="gramStart"/>
            <w:r>
              <w:rPr>
                <w:sz w:val="24"/>
                <w:szCs w:val="24"/>
              </w:rPr>
              <w:t>organization</w:t>
            </w:r>
            <w:proofErr w:type="gramEnd"/>
            <w:r>
              <w:rPr>
                <w:sz w:val="24"/>
                <w:szCs w:val="24"/>
              </w:rPr>
              <w:t xml:space="preserve"> and analysis of content.</w:t>
            </w:r>
          </w:p>
          <w:p w14:paraId="51046A5C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C.10.2.b Introduce a topic; organize complex id</w:t>
            </w:r>
            <w:r>
              <w:rPr>
                <w:sz w:val="24"/>
                <w:szCs w:val="24"/>
              </w:rPr>
              <w:t xml:space="preserve">eas, concepts, and information to make important connections and distinctions; include formatting, </w:t>
            </w:r>
            <w:proofErr w:type="gramStart"/>
            <w:r>
              <w:rPr>
                <w:sz w:val="24"/>
                <w:szCs w:val="24"/>
              </w:rPr>
              <w:t>graphics</w:t>
            </w:r>
            <w:proofErr w:type="gramEnd"/>
            <w:r>
              <w:rPr>
                <w:sz w:val="24"/>
                <w:szCs w:val="24"/>
              </w:rPr>
              <w:t xml:space="preserve"> and multimedia when useful to aiding comprehension.</w:t>
            </w:r>
          </w:p>
          <w:p w14:paraId="31711B39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C.10.2.c Develop the topic with well-chosen, </w:t>
            </w:r>
            <w:proofErr w:type="gramStart"/>
            <w:r>
              <w:rPr>
                <w:sz w:val="24"/>
                <w:szCs w:val="24"/>
              </w:rPr>
              <w:t>relevant</w:t>
            </w:r>
            <w:proofErr w:type="gramEnd"/>
            <w:r>
              <w:rPr>
                <w:sz w:val="24"/>
                <w:szCs w:val="24"/>
              </w:rPr>
              <w:t xml:space="preserve"> and sufficient facts, extended definitions</w:t>
            </w:r>
            <w:r>
              <w:rPr>
                <w:sz w:val="24"/>
                <w:szCs w:val="24"/>
              </w:rPr>
              <w:t>, concrete details, quotations or other information and examples appropriate to the audience’s knowledge of the topic.</w:t>
            </w:r>
          </w:p>
          <w:p w14:paraId="5B2E1E5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C.10.2.d Use appropriate and varied transitions to link the major sections of the text, create cohesion, and clarify the relationships am</w:t>
            </w:r>
            <w:r>
              <w:rPr>
                <w:sz w:val="24"/>
                <w:szCs w:val="24"/>
              </w:rPr>
              <w:t>ong complex ideas and concepts.</w:t>
            </w:r>
          </w:p>
          <w:p w14:paraId="134ED822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C.10.2.e Use precise language and domain-specific vocabulary to manage the complexity of the topic.</w:t>
            </w:r>
          </w:p>
          <w:p w14:paraId="52C652BD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C.10.2.f Establish and maintain a formal style and objective tone while attending to the norms and conventions of the discip</w:t>
            </w:r>
            <w:r>
              <w:rPr>
                <w:sz w:val="24"/>
                <w:szCs w:val="24"/>
              </w:rPr>
              <w:t>line in which they are writing.</w:t>
            </w:r>
          </w:p>
          <w:p w14:paraId="1D60F3F4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C.10.2.g Provide a concluding statement or section that follows from and supports the information or explanation presented.</w:t>
            </w:r>
          </w:p>
          <w:p w14:paraId="2B7BA292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C.10.2.h Develop and strengthen writing as needed by planning, revising, editing, rewriting, or tryi</w:t>
            </w:r>
            <w:r>
              <w:rPr>
                <w:sz w:val="24"/>
                <w:szCs w:val="24"/>
              </w:rPr>
              <w:t>ng a new approach, focusing on addressing what is most significant for a specific purpose and audience.</w:t>
            </w:r>
          </w:p>
          <w:p w14:paraId="4118871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C.10.3 Use narratives strategically in other modes of writing, utilizing effective technique, well-chosen </w:t>
            </w:r>
            <w:proofErr w:type="gramStart"/>
            <w:r>
              <w:rPr>
                <w:sz w:val="24"/>
                <w:szCs w:val="24"/>
              </w:rPr>
              <w:t>details</w:t>
            </w:r>
            <w:proofErr w:type="gramEnd"/>
            <w:r>
              <w:rPr>
                <w:sz w:val="24"/>
                <w:szCs w:val="24"/>
              </w:rPr>
              <w:t xml:space="preserve"> and well-structured sequences for an i</w:t>
            </w:r>
            <w:r>
              <w:rPr>
                <w:sz w:val="24"/>
                <w:szCs w:val="24"/>
              </w:rPr>
              <w:t>ntended purpose, including but not limited to introducing an idea and/or supporting a claim.</w:t>
            </w:r>
          </w:p>
          <w:p w14:paraId="65036534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C.10.3.a Produce clear and coherent writing in which the development, organization and style are appropriate to task and purpose.</w:t>
            </w:r>
          </w:p>
          <w:p w14:paraId="4E4E72A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C.10.3.b Engage and orient the re</w:t>
            </w:r>
            <w:r>
              <w:rPr>
                <w:sz w:val="24"/>
                <w:szCs w:val="24"/>
              </w:rPr>
              <w:t xml:space="preserve">ader by setting out a problem, </w:t>
            </w:r>
            <w:proofErr w:type="gramStart"/>
            <w:r>
              <w:rPr>
                <w:sz w:val="24"/>
                <w:szCs w:val="24"/>
              </w:rPr>
              <w:t>situation</w:t>
            </w:r>
            <w:proofErr w:type="gramEnd"/>
            <w:r>
              <w:rPr>
                <w:sz w:val="24"/>
                <w:szCs w:val="24"/>
              </w:rPr>
              <w:t xml:space="preserve"> or observation, establishing one or multiple point(s) of view and introducing a narrator and/or analysis of content.</w:t>
            </w:r>
          </w:p>
          <w:p w14:paraId="329146B0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065E2" w14:paraId="4D218916" w14:textId="77777777">
        <w:tc>
          <w:tcPr>
            <w:tcW w:w="2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0EE84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Resource(s)</w:t>
            </w:r>
          </w:p>
        </w:tc>
        <w:tc>
          <w:tcPr>
            <w:tcW w:w="72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45CD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“African Americans </w:t>
            </w:r>
            <w:proofErr w:type="gramStart"/>
            <w:r>
              <w:rPr>
                <w:sz w:val="24"/>
                <w:szCs w:val="24"/>
              </w:rPr>
              <w:t>In</w:t>
            </w:r>
            <w:proofErr w:type="gramEnd"/>
            <w:r>
              <w:rPr>
                <w:sz w:val="24"/>
                <w:szCs w:val="24"/>
              </w:rPr>
              <w:t xml:space="preserve"> Racing.” Legacy Equine Academy, 2020, legacyequineacademy.com/</w:t>
            </w:r>
            <w:r>
              <w:rPr>
                <w:sz w:val="24"/>
                <w:szCs w:val="24"/>
              </w:rPr>
              <w:t>.</w:t>
            </w:r>
          </w:p>
        </w:tc>
      </w:tr>
      <w:tr w:rsidR="00C065E2" w14:paraId="5B0124DE" w14:textId="77777777">
        <w:tc>
          <w:tcPr>
            <w:tcW w:w="2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F300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Instructions</w:t>
            </w:r>
          </w:p>
        </w:tc>
        <w:tc>
          <w:tcPr>
            <w:tcW w:w="72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10F4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Teachers and students should connect first with their local community for both identifying a cause to support and for soliciting donations. </w:t>
            </w:r>
          </w:p>
          <w:p w14:paraId="78064531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23995FDD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create works of art or brochures and contact Forbes Fortune 500 Companies or local businesses and in</w:t>
            </w:r>
            <w:r>
              <w:rPr>
                <w:sz w:val="24"/>
                <w:szCs w:val="24"/>
              </w:rPr>
              <w:t>dividuals to contribute to the creation of artistic works and the establishment of scholarships.</w:t>
            </w:r>
          </w:p>
          <w:p w14:paraId="4DFF6CE3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55F041C6" w14:textId="77777777" w:rsidR="00C065E2" w:rsidRDefault="00C065E2">
      <w:pPr>
        <w:spacing w:line="240" w:lineRule="auto"/>
        <w:rPr>
          <w:sz w:val="24"/>
          <w:szCs w:val="24"/>
        </w:rPr>
      </w:pPr>
    </w:p>
    <w:p w14:paraId="7D181CB2" w14:textId="77777777" w:rsidR="00C065E2" w:rsidRDefault="00C065E2">
      <w:pPr>
        <w:spacing w:line="240" w:lineRule="auto"/>
        <w:rPr>
          <w:sz w:val="24"/>
          <w:szCs w:val="24"/>
        </w:rPr>
      </w:pPr>
    </w:p>
    <w:tbl>
      <w:tblPr>
        <w:tblStyle w:val="a0"/>
        <w:tblW w:w="9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7230"/>
      </w:tblGrid>
      <w:tr w:rsidR="00C065E2" w14:paraId="204E9EF2" w14:textId="77777777"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1DBB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 Number </w:t>
            </w:r>
          </w:p>
          <w:p w14:paraId="4526C97B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Requirement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C50E4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THIRTEEN</w:t>
            </w:r>
          </w:p>
          <w:p w14:paraId="7F88398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Ongoing</w:t>
            </w:r>
          </w:p>
          <w:p w14:paraId="2813F63E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Co-Curricular</w:t>
            </w:r>
          </w:p>
          <w:p w14:paraId="20DA684A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Extra-Curricular </w:t>
            </w:r>
          </w:p>
          <w:p w14:paraId="75DFA876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Culminating Activity</w:t>
            </w:r>
          </w:p>
        </w:tc>
      </w:tr>
      <w:tr w:rsidR="00C065E2" w14:paraId="7ADC678D" w14:textId="77777777"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468EF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A4316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Derby, </w:t>
            </w:r>
            <w:proofErr w:type="gramStart"/>
            <w:r>
              <w:rPr>
                <w:sz w:val="24"/>
                <w:szCs w:val="24"/>
              </w:rPr>
              <w:t>Dinner</w:t>
            </w:r>
            <w:proofErr w:type="gramEnd"/>
            <w:r>
              <w:rPr>
                <w:sz w:val="24"/>
                <w:szCs w:val="24"/>
              </w:rPr>
              <w:t xml:space="preserve"> and Dance</w:t>
            </w:r>
          </w:p>
        </w:tc>
      </w:tr>
      <w:tr w:rsidR="00C065E2" w14:paraId="064161CA" w14:textId="77777777"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D84C5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Curriculum Areas</w:t>
            </w:r>
          </w:p>
          <w:p w14:paraId="0E5B7487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592155D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Standards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8513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</w:t>
            </w:r>
          </w:p>
          <w:p w14:paraId="35E00025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D7267E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 responsible personal and social behavior that exhibits respect for self and others.</w:t>
            </w:r>
          </w:p>
          <w:p w14:paraId="5908E84D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proofErr w:type="gramStart"/>
            <w:r>
              <w:rPr>
                <w:sz w:val="24"/>
                <w:szCs w:val="24"/>
              </w:rPr>
              <w:t>HS.S</w:t>
            </w:r>
            <w:proofErr w:type="gramEnd"/>
            <w:r>
              <w:rPr>
                <w:sz w:val="24"/>
                <w:szCs w:val="24"/>
              </w:rPr>
              <w:t xml:space="preserve">4.1. Interact positively in social and group interactions </w:t>
            </w:r>
            <w:proofErr w:type="gramStart"/>
            <w:r>
              <w:rPr>
                <w:sz w:val="24"/>
                <w:szCs w:val="24"/>
              </w:rPr>
              <w:t>through the use of</w:t>
            </w:r>
            <w:proofErr w:type="gramEnd"/>
            <w:r>
              <w:rPr>
                <w:sz w:val="24"/>
                <w:szCs w:val="24"/>
              </w:rPr>
              <w:t xml:space="preserve"> communication skills, critical thinking, accountability and leadership in a physical activity setting.</w:t>
            </w:r>
          </w:p>
          <w:p w14:paraId="45C4B4A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proofErr w:type="gramStart"/>
            <w:r>
              <w:rPr>
                <w:sz w:val="24"/>
                <w:szCs w:val="24"/>
              </w:rPr>
              <w:t>HS.S</w:t>
            </w:r>
            <w:proofErr w:type="gramEnd"/>
            <w:r>
              <w:rPr>
                <w:sz w:val="24"/>
                <w:szCs w:val="24"/>
              </w:rPr>
              <w:t>4.2. Demonstrate respect for others’ diversity while participati</w:t>
            </w:r>
            <w:r>
              <w:rPr>
                <w:sz w:val="24"/>
                <w:szCs w:val="24"/>
              </w:rPr>
              <w:t xml:space="preserve">ng in sports </w:t>
            </w:r>
            <w:proofErr w:type="spellStart"/>
            <w:r>
              <w:rPr>
                <w:sz w:val="24"/>
                <w:szCs w:val="24"/>
              </w:rPr>
              <w:t>aHS</w:t>
            </w:r>
            <w:proofErr w:type="spellEnd"/>
            <w:r>
              <w:rPr>
                <w:sz w:val="24"/>
                <w:szCs w:val="24"/>
              </w:rPr>
              <w:t>.1.8. Describe the recommendation of the U.S. Dietary Guidelines for Americans and the importance of eating a variety of appropriate foods to meet daily nutrient</w:t>
            </w:r>
          </w:p>
          <w:p w14:paraId="26534CFA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caloric needs.</w:t>
            </w:r>
          </w:p>
          <w:p w14:paraId="64BCD248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HS.1.9. Summarize how to make healthy selections when din</w:t>
            </w:r>
            <w:r>
              <w:rPr>
                <w:sz w:val="24"/>
                <w:szCs w:val="24"/>
              </w:rPr>
              <w:t xml:space="preserve">ing out. </w:t>
            </w:r>
          </w:p>
          <w:p w14:paraId="3ADC0E97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proofErr w:type="gramStart"/>
            <w:r>
              <w:rPr>
                <w:sz w:val="24"/>
                <w:szCs w:val="24"/>
              </w:rPr>
              <w:t>HS.S</w:t>
            </w:r>
            <w:proofErr w:type="gramEnd"/>
            <w:r>
              <w:rPr>
                <w:sz w:val="24"/>
                <w:szCs w:val="24"/>
              </w:rPr>
              <w:t xml:space="preserve">4.3. Apply conflict resolution/mediation skills when participating in sports and/or recreational activities. </w:t>
            </w:r>
          </w:p>
          <w:p w14:paraId="2728890E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591E9B87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065E2" w14:paraId="07AD943E" w14:textId="77777777"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12A66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Resource(s)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3E61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“DIY Halloween Mask: Horse Head.” Etsy, Inc., </w:t>
            </w:r>
            <w:proofErr w:type="gramStart"/>
            <w:r>
              <w:rPr>
                <w:sz w:val="24"/>
                <w:szCs w:val="24"/>
              </w:rPr>
              <w:t xml:space="preserve">2019,   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hyperlink r:id="rId4">
              <w:r>
                <w:rPr>
                  <w:sz w:val="24"/>
                  <w:szCs w:val="24"/>
                </w:rPr>
                <w:t>www.etsy.com/listing/245226526/diy-halloween-mask-horse-head-mask-horse</w:t>
              </w:r>
            </w:hyperlink>
            <w:r>
              <w:rPr>
                <w:sz w:val="24"/>
                <w:szCs w:val="24"/>
              </w:rPr>
              <w:t>.</w:t>
            </w:r>
          </w:p>
          <w:p w14:paraId="1A69F957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E8F39DF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sz w:val="24"/>
                <w:szCs w:val="24"/>
              </w:rPr>
              <w:t>Paper</w:t>
            </w:r>
            <w:proofErr w:type="spellEnd"/>
            <w:r>
              <w:rPr>
                <w:sz w:val="24"/>
                <w:szCs w:val="24"/>
              </w:rPr>
              <w:t xml:space="preserve"> Mache Horse." You Tube, Uploaded by Ultimate Paper Mache. 19 Mar. 2010, </w:t>
            </w:r>
            <w:hyperlink r:id="rId5">
              <w:r>
                <w:rPr>
                  <w:sz w:val="24"/>
                  <w:szCs w:val="24"/>
                </w:rPr>
                <w:t>https://www.youtube.com/watch?v=iwfA-IoB9pc</w:t>
              </w:r>
            </w:hyperlink>
            <w:r>
              <w:rPr>
                <w:sz w:val="24"/>
                <w:szCs w:val="24"/>
              </w:rPr>
              <w:t>.</w:t>
            </w:r>
          </w:p>
          <w:p w14:paraId="07AC13DB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F826523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Roberts, Rona. “Great Bites in the Bluegrass State: What </w:t>
            </w:r>
            <w:proofErr w:type="gramStart"/>
            <w:r>
              <w:rPr>
                <w:sz w:val="24"/>
                <w:szCs w:val="24"/>
              </w:rPr>
              <w:t>To</w:t>
            </w:r>
            <w:proofErr w:type="gramEnd"/>
            <w:r>
              <w:rPr>
                <w:sz w:val="24"/>
                <w:szCs w:val="24"/>
              </w:rPr>
              <w:t xml:space="preserve"> Eat In Kentucky.” The United Plates of America, 2020, </w:t>
            </w:r>
            <w:hyperlink r:id="rId6">
              <w:r>
                <w:rPr>
                  <w:sz w:val="24"/>
                  <w:szCs w:val="24"/>
                </w:rPr>
                <w:t>www.foodnetwork.com/restaurants/packages/best-food-in-america/photos/what-to-eat-kentucky</w:t>
              </w:r>
            </w:hyperlink>
            <w:r>
              <w:rPr>
                <w:sz w:val="24"/>
                <w:szCs w:val="24"/>
              </w:rPr>
              <w:t>.</w:t>
            </w:r>
          </w:p>
          <w:p w14:paraId="786EF2D6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5366F726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Krishna, Priya. “The History of Burgoo, the </w:t>
            </w:r>
            <w:proofErr w:type="spellStart"/>
            <w:r>
              <w:rPr>
                <w:sz w:val="24"/>
                <w:szCs w:val="24"/>
              </w:rPr>
              <w:t>KenThe</w:t>
            </w:r>
            <w:proofErr w:type="spellEnd"/>
            <w:r>
              <w:rPr>
                <w:sz w:val="24"/>
                <w:szCs w:val="24"/>
              </w:rPr>
              <w:t xml:space="preserve"> History of Burgoo, the Kentucky Derby</w:t>
            </w:r>
            <w:r>
              <w:rPr>
                <w:sz w:val="24"/>
                <w:szCs w:val="24"/>
              </w:rPr>
              <w:t xml:space="preserve">'s Traditional Dish.” Tasting Table, 3 May 2018, </w:t>
            </w:r>
            <w:hyperlink r:id="rId7">
              <w:r>
                <w:rPr>
                  <w:sz w:val="24"/>
                  <w:szCs w:val="24"/>
                </w:rPr>
                <w:t>www.tastingtable.com/dine/national/burgoo-history-kentucky-derby</w:t>
              </w:r>
            </w:hyperlink>
            <w:r>
              <w:rPr>
                <w:sz w:val="24"/>
                <w:szCs w:val="24"/>
              </w:rPr>
              <w:t>.</w:t>
            </w:r>
          </w:p>
          <w:p w14:paraId="30244CF0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7BA86EBF" w14:textId="77777777" w:rsidR="00C065E2" w:rsidRDefault="0011507D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“NEW Kentucky Derby Museum 25th Anniversary Cookb</w:t>
            </w:r>
            <w:r>
              <w:rPr>
                <w:sz w:val="24"/>
                <w:szCs w:val="24"/>
              </w:rPr>
              <w:t xml:space="preserve">ook!” Kentucky Derby Museum, 26 Mar. 2012, </w:t>
            </w:r>
            <w:hyperlink r:id="rId8">
              <w:r>
                <w:rPr>
                  <w:sz w:val="24"/>
                  <w:szCs w:val="24"/>
                </w:rPr>
                <w:t>www.derbymuseum.org/Blog/Article/20/NEW-Kentucky-Derby-Museum-25th-Anniversary-Cookbook</w:t>
              </w:r>
            </w:hyperlink>
            <w:r>
              <w:rPr>
                <w:sz w:val="24"/>
                <w:szCs w:val="24"/>
              </w:rPr>
              <w:t>.</w:t>
            </w:r>
          </w:p>
        </w:tc>
      </w:tr>
      <w:tr w:rsidR="00C065E2" w14:paraId="39559B61" w14:textId="77777777"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D5EF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Instructi</w:t>
            </w:r>
            <w:r>
              <w:rPr>
                <w:sz w:val="24"/>
                <w:szCs w:val="24"/>
              </w:rPr>
              <w:t>ons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E945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create fifteen </w:t>
            </w:r>
            <w:proofErr w:type="spellStart"/>
            <w:r>
              <w:rPr>
                <w:sz w:val="24"/>
                <w:szCs w:val="24"/>
              </w:rPr>
              <w:t>paper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mache</w:t>
            </w:r>
            <w:proofErr w:type="spellEnd"/>
            <w:r>
              <w:rPr>
                <w:sz w:val="24"/>
                <w:szCs w:val="24"/>
              </w:rPr>
              <w:t xml:space="preserve"> horse heads representing the winning horses with African American jockeys. </w:t>
            </w:r>
          </w:p>
          <w:p w14:paraId="2BCCE5CB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6E985B89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Option: Students could create models of the jockeys, their </w:t>
            </w:r>
            <w:proofErr w:type="gramStart"/>
            <w:r>
              <w:rPr>
                <w:sz w:val="24"/>
                <w:szCs w:val="24"/>
              </w:rPr>
              <w:t>silks</w:t>
            </w:r>
            <w:proofErr w:type="gramEnd"/>
            <w:r>
              <w:rPr>
                <w:sz w:val="24"/>
                <w:szCs w:val="24"/>
              </w:rPr>
              <w:t xml:space="preserve"> or another symbolic representation of who they were.</w:t>
            </w:r>
          </w:p>
          <w:p w14:paraId="65FC78D9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21B51432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p</w:t>
            </w:r>
            <w:r>
              <w:rPr>
                <w:sz w:val="24"/>
                <w:szCs w:val="24"/>
              </w:rPr>
              <w:t>articipate in a "mock" Run for the Roses.</w:t>
            </w:r>
          </w:p>
          <w:p w14:paraId="3AD48334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05BA2ED9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research the actual celebration dinners prepared for the Kentucky Derby winners. </w:t>
            </w:r>
          </w:p>
          <w:p w14:paraId="52A3DCD9" w14:textId="77777777" w:rsidR="00C065E2" w:rsidRDefault="00C065E2">
            <w:pPr>
              <w:spacing w:line="240" w:lineRule="auto"/>
              <w:rPr>
                <w:sz w:val="24"/>
                <w:szCs w:val="24"/>
              </w:rPr>
            </w:pPr>
          </w:p>
          <w:p w14:paraId="735C5C80" w14:textId="77777777" w:rsidR="00C065E2" w:rsidRDefault="0011507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dinner with early 1900's cuisine and a dance with music from the era will be emphasized. </w:t>
            </w:r>
          </w:p>
        </w:tc>
      </w:tr>
    </w:tbl>
    <w:p w14:paraId="24369BE7" w14:textId="77777777" w:rsidR="00C065E2" w:rsidRDefault="00C065E2">
      <w:pPr>
        <w:spacing w:line="240" w:lineRule="auto"/>
        <w:rPr>
          <w:sz w:val="24"/>
          <w:szCs w:val="24"/>
        </w:rPr>
      </w:pPr>
    </w:p>
    <w:p w14:paraId="5E07A137" w14:textId="77777777" w:rsidR="00C065E2" w:rsidRDefault="00C065E2"/>
    <w:sectPr w:rsidR="00C065E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E2"/>
    <w:rsid w:val="0011507D"/>
    <w:rsid w:val="00C0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D99F9"/>
  <w15:docId w15:val="{BB6949CF-54DD-4106-B538-D22CE55F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bymuseum.org/Blog/Article/20/NEW-Kentucky-Derby-Museum-25th-Anniversary-Cookboo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astingtable.com/dine/national/burgoo-history-kentucky-der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odnetwork.com/restaurants/packages/best-food-in-america/photos/what-to-eat-kentucky" TargetMode="External"/><Relationship Id="rId5" Type="http://schemas.openxmlformats.org/officeDocument/2006/relationships/hyperlink" Target="https://www.youtube.com/watch?v=iwfA-IoB9p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tsy.com/listing/245226526/diy-halloween-mask-horse-head-mask-hors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2023-02-09T19:27:00Z</dcterms:created>
  <dcterms:modified xsi:type="dcterms:W3CDTF">2023-02-09T19:27:00Z</dcterms:modified>
</cp:coreProperties>
</file>